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38" w:rsidRPr="00B41938" w:rsidRDefault="00B41938" w:rsidP="00B41938">
      <w:pPr>
        <w:pStyle w:val="Prrafodelista"/>
        <w:spacing w:after="0"/>
        <w:ind w:left="36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B41938">
        <w:rPr>
          <w:rFonts w:ascii="Times New Roman" w:hAnsi="Times New Roman" w:cs="Times New Roman"/>
          <w:b/>
          <w:sz w:val="28"/>
        </w:rPr>
        <w:t>Minuta Alcohol</w:t>
      </w:r>
    </w:p>
    <w:p w:rsidR="00B41938" w:rsidRPr="00B41938" w:rsidRDefault="00B41938" w:rsidP="00B41938">
      <w:pPr>
        <w:pStyle w:val="Prrafodelista"/>
        <w:spacing w:after="0"/>
        <w:ind w:left="360"/>
        <w:jc w:val="center"/>
        <w:rPr>
          <w:rFonts w:ascii="Times New Roman" w:hAnsi="Times New Roman" w:cs="Times New Roman"/>
          <w:i/>
        </w:rPr>
      </w:pPr>
      <w:r w:rsidRPr="00B41938">
        <w:rPr>
          <w:rFonts w:ascii="Times New Roman" w:hAnsi="Times New Roman" w:cs="Times New Roman"/>
          <w:i/>
        </w:rPr>
        <w:t>Observatorio Chileno de Drogas</w:t>
      </w:r>
    </w:p>
    <w:p w:rsidR="00B41938" w:rsidRPr="00B41938" w:rsidRDefault="00B41938" w:rsidP="00B41938">
      <w:pPr>
        <w:pStyle w:val="Prrafodelista"/>
        <w:spacing w:after="0"/>
        <w:ind w:left="360"/>
        <w:jc w:val="center"/>
        <w:rPr>
          <w:rFonts w:ascii="Times New Roman" w:hAnsi="Times New Roman" w:cs="Times New Roman"/>
          <w:i/>
        </w:rPr>
      </w:pPr>
      <w:r w:rsidRPr="00B41938">
        <w:rPr>
          <w:rFonts w:ascii="Times New Roman" w:hAnsi="Times New Roman" w:cs="Times New Roman"/>
          <w:i/>
        </w:rPr>
        <w:t>Abril 2014</w:t>
      </w:r>
    </w:p>
    <w:p w:rsidR="00B41938" w:rsidRPr="00B41938" w:rsidRDefault="00B41938" w:rsidP="00B41938">
      <w:pPr>
        <w:pStyle w:val="Prrafodelista"/>
        <w:spacing w:after="0"/>
        <w:ind w:left="360"/>
        <w:jc w:val="both"/>
        <w:rPr>
          <w:rFonts w:ascii="Times New Roman" w:hAnsi="Times New Roman" w:cs="Times New Roman"/>
          <w:i/>
        </w:rPr>
      </w:pPr>
    </w:p>
    <w:p w:rsidR="00023200" w:rsidRDefault="00551B5C" w:rsidP="00B41938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41938">
        <w:rPr>
          <w:rFonts w:ascii="Times New Roman" w:hAnsi="Times New Roman" w:cs="Times New Roman"/>
        </w:rPr>
        <w:t xml:space="preserve">El </w:t>
      </w:r>
      <w:r w:rsidR="00EA0D70">
        <w:rPr>
          <w:rFonts w:ascii="Times New Roman" w:hAnsi="Times New Roman" w:cs="Times New Roman"/>
        </w:rPr>
        <w:t>consumo de alco</w:t>
      </w:r>
      <w:r w:rsidRPr="00B41938">
        <w:rPr>
          <w:rFonts w:ascii="Times New Roman" w:hAnsi="Times New Roman" w:cs="Times New Roman"/>
        </w:rPr>
        <w:t xml:space="preserve">hol es una de las principales causas de muerte evitable en Chile y a nivel global. En Chile, </w:t>
      </w:r>
      <w:r w:rsidR="00866FCD" w:rsidRPr="00B41938">
        <w:rPr>
          <w:rFonts w:ascii="Times New Roman" w:hAnsi="Times New Roman" w:cs="Times New Roman"/>
        </w:rPr>
        <w:t xml:space="preserve">el 9,8% del total de muertes ocurridas </w:t>
      </w:r>
      <w:r w:rsidRPr="00B41938">
        <w:rPr>
          <w:rFonts w:ascii="Times New Roman" w:hAnsi="Times New Roman" w:cs="Times New Roman"/>
        </w:rPr>
        <w:t>en la población de 15 años y más el año</w:t>
      </w:r>
      <w:r w:rsidR="00866FCD" w:rsidRPr="00B41938">
        <w:rPr>
          <w:rFonts w:ascii="Times New Roman" w:hAnsi="Times New Roman" w:cs="Times New Roman"/>
        </w:rPr>
        <w:t xml:space="preserve"> 2009 </w:t>
      </w:r>
      <w:r w:rsidRPr="00B41938">
        <w:rPr>
          <w:rFonts w:ascii="Times New Roman" w:hAnsi="Times New Roman" w:cs="Times New Roman"/>
        </w:rPr>
        <w:t>son atribuibles al consumo de alcohol</w:t>
      </w:r>
      <w:r w:rsidR="00E75F69">
        <w:rPr>
          <w:rFonts w:ascii="Times New Roman" w:hAnsi="Times New Roman" w:cs="Times New Roman"/>
        </w:rPr>
        <w:t>.</w:t>
      </w:r>
    </w:p>
    <w:p w:rsidR="00E75F69" w:rsidRPr="00B41938" w:rsidRDefault="00E75F69" w:rsidP="00E75F69">
      <w:pPr>
        <w:pStyle w:val="Prrafodelista"/>
        <w:spacing w:after="0"/>
        <w:ind w:left="360"/>
        <w:jc w:val="both"/>
        <w:rPr>
          <w:rFonts w:ascii="Times New Roman" w:hAnsi="Times New Roman" w:cs="Times New Roman"/>
        </w:rPr>
      </w:pPr>
    </w:p>
    <w:p w:rsidR="007E4FDB" w:rsidRDefault="00344741" w:rsidP="00B41938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41938">
        <w:rPr>
          <w:rFonts w:ascii="Times New Roman" w:hAnsi="Times New Roman" w:cs="Times New Roman"/>
        </w:rPr>
        <w:t>El consumo de alcohol se relaciona causalmente con más de 60 causas de muertes</w:t>
      </w:r>
      <w:r w:rsidR="007E4FDB" w:rsidRPr="00B41938">
        <w:rPr>
          <w:rFonts w:ascii="Times New Roman" w:hAnsi="Times New Roman" w:cs="Times New Roman"/>
        </w:rPr>
        <w:t xml:space="preserve">, las que a su vez se identifican en más de </w:t>
      </w:r>
      <w:r w:rsidRPr="00B41938">
        <w:rPr>
          <w:rFonts w:ascii="Times New Roman" w:hAnsi="Times New Roman" w:cs="Times New Roman"/>
        </w:rPr>
        <w:t>230 códigos de clasificación</w:t>
      </w:r>
      <w:r w:rsidR="007E4FDB" w:rsidRPr="00B41938">
        <w:rPr>
          <w:rFonts w:ascii="Times New Roman" w:hAnsi="Times New Roman" w:cs="Times New Roman"/>
        </w:rPr>
        <w:t xml:space="preserve"> (CIE-10)</w:t>
      </w:r>
      <w:r w:rsidRPr="00B41938">
        <w:rPr>
          <w:rFonts w:ascii="Times New Roman" w:hAnsi="Times New Roman" w:cs="Times New Roman"/>
        </w:rPr>
        <w:t xml:space="preserve"> diferentes</w:t>
      </w:r>
      <w:r w:rsidR="007E4FDB" w:rsidRPr="00B41938">
        <w:rPr>
          <w:rFonts w:ascii="Times New Roman" w:hAnsi="Times New Roman" w:cs="Times New Roman"/>
        </w:rPr>
        <w:t xml:space="preserve">. </w:t>
      </w:r>
    </w:p>
    <w:p w:rsidR="00E75F69" w:rsidRPr="00E75F69" w:rsidRDefault="00E75F69" w:rsidP="00E75F69">
      <w:pPr>
        <w:pStyle w:val="Prrafodelista"/>
        <w:rPr>
          <w:rFonts w:ascii="Times New Roman" w:hAnsi="Times New Roman" w:cs="Times New Roman"/>
        </w:rPr>
      </w:pPr>
    </w:p>
    <w:p w:rsidR="00551B5C" w:rsidRDefault="007E4FDB" w:rsidP="00B41938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41938">
        <w:rPr>
          <w:rFonts w:ascii="Times New Roman" w:hAnsi="Times New Roman" w:cs="Times New Roman"/>
        </w:rPr>
        <w:t>Dentro de las causas de muerte relacionadas al alcohol se encuentran las</w:t>
      </w:r>
      <w:r w:rsidR="00344741" w:rsidRPr="00B41938">
        <w:rPr>
          <w:rFonts w:ascii="Times New Roman" w:hAnsi="Times New Roman" w:cs="Times New Roman"/>
        </w:rPr>
        <w:t xml:space="preserve"> lesi</w:t>
      </w:r>
      <w:r w:rsidRPr="00B41938">
        <w:rPr>
          <w:rFonts w:ascii="Times New Roman" w:hAnsi="Times New Roman" w:cs="Times New Roman"/>
        </w:rPr>
        <w:t>ones (accedentes de tránsito, homicidios, caídas, entre otras), causas neuropsiquiátricas, cardiovasculares, cáncer o gastrointestinales, entre las principales.</w:t>
      </w:r>
    </w:p>
    <w:p w:rsidR="00E75F69" w:rsidRPr="00B41938" w:rsidRDefault="00E75F69" w:rsidP="00E75F69">
      <w:pPr>
        <w:pStyle w:val="Prrafodelista"/>
        <w:spacing w:after="0"/>
        <w:ind w:left="360"/>
        <w:jc w:val="both"/>
        <w:rPr>
          <w:rFonts w:ascii="Times New Roman" w:hAnsi="Times New Roman" w:cs="Times New Roman"/>
        </w:rPr>
      </w:pPr>
    </w:p>
    <w:p w:rsidR="00023200" w:rsidRPr="00B41938" w:rsidRDefault="00836148" w:rsidP="00B41938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41938">
        <w:rPr>
          <w:rFonts w:ascii="Times New Roman" w:hAnsi="Times New Roman" w:cs="Times New Roman"/>
        </w:rPr>
        <w:t>Según el Décimo Estudios Nacional de Drogas en Población General del año 2012, l</w:t>
      </w:r>
      <w:r w:rsidR="00716B56" w:rsidRPr="00B41938">
        <w:rPr>
          <w:rFonts w:ascii="Times New Roman" w:hAnsi="Times New Roman" w:cs="Times New Roman"/>
        </w:rPr>
        <w:t>a prevalencia de consumo de alcohol en el último mes no presenta cambios significativos respecto al estudio anterior, consolidando el descenso observado de 9 puntos porcentuales entre los años 2008 y 2010</w:t>
      </w:r>
      <w:r w:rsidR="00E75F69">
        <w:rPr>
          <w:rFonts w:ascii="Times New Roman" w:hAnsi="Times New Roman" w:cs="Times New Roman"/>
        </w:rPr>
        <w:t xml:space="preserve"> (ver figura 1).</w:t>
      </w:r>
    </w:p>
    <w:p w:rsidR="00836148" w:rsidRPr="00B41938" w:rsidRDefault="00836148" w:rsidP="00B41938">
      <w:pPr>
        <w:spacing w:after="0"/>
        <w:jc w:val="both"/>
        <w:rPr>
          <w:rFonts w:ascii="Times New Roman" w:hAnsi="Times New Roman" w:cs="Times New Roman"/>
        </w:rPr>
      </w:pPr>
    </w:p>
    <w:p w:rsidR="00551B5C" w:rsidRPr="00B41938" w:rsidRDefault="008D0EAF" w:rsidP="00B4193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Figura 1. </w:t>
      </w:r>
      <w:r w:rsidR="00551B5C" w:rsidRPr="00B41938">
        <w:rPr>
          <w:rFonts w:ascii="Times New Roman" w:hAnsi="Times New Roman" w:cs="Times New Roman"/>
          <w:b/>
        </w:rPr>
        <w:t>Evolución de la prevalencia de consumo de alcohol</w:t>
      </w:r>
      <w:r w:rsidR="0045720F" w:rsidRPr="00B41938">
        <w:rPr>
          <w:rFonts w:ascii="Times New Roman" w:hAnsi="Times New Roman" w:cs="Times New Roman"/>
          <w:b/>
        </w:rPr>
        <w:t xml:space="preserve"> (vida, año y mes)</w:t>
      </w:r>
      <w:r w:rsidR="00551B5C" w:rsidRPr="00B41938">
        <w:rPr>
          <w:rFonts w:ascii="Times New Roman" w:hAnsi="Times New Roman" w:cs="Times New Roman"/>
          <w:b/>
        </w:rPr>
        <w:t>.</w:t>
      </w:r>
      <w:r w:rsidR="00470C15" w:rsidRPr="00B41938">
        <w:rPr>
          <w:rFonts w:ascii="Times New Roman" w:hAnsi="Times New Roman" w:cs="Times New Roman"/>
          <w:b/>
        </w:rPr>
        <w:t xml:space="preserve"> Estudio Nacional de Drogas en población General</w:t>
      </w:r>
      <w:r w:rsidR="0045720F" w:rsidRPr="00B41938">
        <w:rPr>
          <w:rFonts w:ascii="Times New Roman" w:hAnsi="Times New Roman" w:cs="Times New Roman"/>
          <w:b/>
        </w:rPr>
        <w:t xml:space="preserve"> (12 a 64 años)</w:t>
      </w:r>
      <w:r w:rsidR="00470C15" w:rsidRPr="00B41938">
        <w:rPr>
          <w:rFonts w:ascii="Times New Roman" w:hAnsi="Times New Roman" w:cs="Times New Roman"/>
          <w:b/>
        </w:rPr>
        <w:t>.</w:t>
      </w:r>
      <w:r w:rsidR="00551B5C" w:rsidRPr="00B41938">
        <w:rPr>
          <w:rFonts w:ascii="Times New Roman" w:hAnsi="Times New Roman" w:cs="Times New Roman"/>
          <w:b/>
        </w:rPr>
        <w:t xml:space="preserve"> 1994-2012</w:t>
      </w:r>
    </w:p>
    <w:p w:rsidR="00470C15" w:rsidRPr="00B41938" w:rsidRDefault="00470C15" w:rsidP="00B41938">
      <w:pPr>
        <w:spacing w:after="0"/>
        <w:jc w:val="both"/>
        <w:rPr>
          <w:rFonts w:ascii="Times New Roman" w:hAnsi="Times New Roman" w:cs="Times New Roman"/>
          <w:b/>
        </w:rPr>
      </w:pPr>
      <w:r w:rsidRPr="00B41938">
        <w:rPr>
          <w:rFonts w:ascii="Times New Roman" w:hAnsi="Times New Roman" w:cs="Times New Roman"/>
          <w:noProof/>
          <w:lang w:val="es-ES" w:eastAsia="es-ES"/>
        </w:rPr>
        <w:drawing>
          <wp:inline distT="0" distB="0" distL="0" distR="0">
            <wp:extent cx="5610225" cy="3790950"/>
            <wp:effectExtent l="0" t="0" r="9525" b="1905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51B5C" w:rsidRPr="00B41938" w:rsidRDefault="00551B5C" w:rsidP="00B41938">
      <w:pPr>
        <w:spacing w:after="0"/>
        <w:jc w:val="both"/>
        <w:rPr>
          <w:rFonts w:ascii="Times New Roman" w:hAnsi="Times New Roman" w:cs="Times New Roman"/>
        </w:rPr>
      </w:pPr>
    </w:p>
    <w:p w:rsidR="00716B56" w:rsidRDefault="00836148" w:rsidP="00B41938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41938">
        <w:rPr>
          <w:rFonts w:ascii="Times New Roman" w:hAnsi="Times New Roman" w:cs="Times New Roman"/>
        </w:rPr>
        <w:lastRenderedPageBreak/>
        <w:t>La prevalencia de consumo abusivo de alcohol también se mantuvo estable entre 2010 y 2012, aunque a lo largo de la serie de estudios se observa una tendencia decreciente en hombres, no así en mujeres</w:t>
      </w:r>
      <w:r w:rsidR="00E75F69">
        <w:rPr>
          <w:rFonts w:ascii="Times New Roman" w:hAnsi="Times New Roman" w:cs="Times New Roman"/>
        </w:rPr>
        <w:t xml:space="preserve"> (ver figura 2)</w:t>
      </w:r>
      <w:r w:rsidRPr="00B41938">
        <w:rPr>
          <w:rFonts w:ascii="Times New Roman" w:hAnsi="Times New Roman" w:cs="Times New Roman"/>
        </w:rPr>
        <w:t>.</w:t>
      </w:r>
    </w:p>
    <w:p w:rsidR="00E75F69" w:rsidRPr="00B41938" w:rsidRDefault="00E75F69" w:rsidP="00E75F69">
      <w:pPr>
        <w:pStyle w:val="Prrafodelista"/>
        <w:spacing w:after="0"/>
        <w:ind w:left="360"/>
        <w:jc w:val="both"/>
        <w:rPr>
          <w:rFonts w:ascii="Times New Roman" w:hAnsi="Times New Roman" w:cs="Times New Roman"/>
        </w:rPr>
      </w:pPr>
    </w:p>
    <w:p w:rsidR="00716B56" w:rsidRPr="00B41938" w:rsidRDefault="008D0EAF" w:rsidP="00B4193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Figura 2. </w:t>
      </w:r>
      <w:r w:rsidR="00716B56" w:rsidRPr="00B41938">
        <w:rPr>
          <w:rFonts w:ascii="Times New Roman" w:hAnsi="Times New Roman" w:cs="Times New Roman"/>
          <w:b/>
        </w:rPr>
        <w:t>Evolución de la prevalencia del consumo abusivo de alcohol entre prevalentes de último mes. Total, hombres y mujeres. 2002-2012</w:t>
      </w:r>
    </w:p>
    <w:p w:rsidR="00551B5C" w:rsidRPr="00B41938" w:rsidRDefault="00716B56" w:rsidP="00B41938">
      <w:pPr>
        <w:spacing w:after="0"/>
        <w:jc w:val="both"/>
        <w:rPr>
          <w:rFonts w:ascii="Times New Roman" w:hAnsi="Times New Roman" w:cs="Times New Roman"/>
        </w:rPr>
      </w:pPr>
      <w:r w:rsidRPr="00B41938">
        <w:rPr>
          <w:rFonts w:ascii="Times New Roman" w:hAnsi="Times New Roman" w:cs="Times New Roman"/>
          <w:noProof/>
          <w:lang w:val="es-ES" w:eastAsia="es-ES"/>
        </w:rPr>
        <w:drawing>
          <wp:inline distT="0" distB="0" distL="0" distR="0">
            <wp:extent cx="5162550" cy="2686050"/>
            <wp:effectExtent l="0" t="0" r="19050" b="1905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5720F" w:rsidRPr="00B41938" w:rsidRDefault="0045720F" w:rsidP="00B41938">
      <w:pPr>
        <w:pStyle w:val="Prrafodelista"/>
        <w:spacing w:after="0"/>
        <w:ind w:left="360"/>
        <w:jc w:val="both"/>
        <w:rPr>
          <w:rFonts w:ascii="Times New Roman" w:hAnsi="Times New Roman" w:cs="Times New Roman"/>
        </w:rPr>
      </w:pPr>
    </w:p>
    <w:p w:rsidR="0045720F" w:rsidRPr="00B41938" w:rsidRDefault="0045720F" w:rsidP="00B41938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41938">
        <w:rPr>
          <w:rFonts w:ascii="Times New Roman" w:hAnsi="Times New Roman" w:cs="Times New Roman"/>
        </w:rPr>
        <w:t>Las prevalencia de consumo de alcohol en población escolar se han mantenido estables en los últimos estudios</w:t>
      </w:r>
      <w:r w:rsidR="00E75F69">
        <w:rPr>
          <w:rFonts w:ascii="Times New Roman" w:hAnsi="Times New Roman" w:cs="Times New Roman"/>
        </w:rPr>
        <w:t xml:space="preserve"> (ver figura 3).</w:t>
      </w:r>
    </w:p>
    <w:p w:rsidR="0045720F" w:rsidRPr="00B41938" w:rsidRDefault="0045720F" w:rsidP="00B41938">
      <w:pPr>
        <w:spacing w:after="0"/>
        <w:jc w:val="both"/>
        <w:rPr>
          <w:rFonts w:ascii="Times New Roman" w:hAnsi="Times New Roman" w:cs="Times New Roman"/>
          <w:b/>
        </w:rPr>
      </w:pPr>
    </w:p>
    <w:p w:rsidR="0045720F" w:rsidRPr="00B41938" w:rsidRDefault="008D0EAF" w:rsidP="00B4193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Figura 3. </w:t>
      </w:r>
      <w:r w:rsidR="0045720F" w:rsidRPr="00B41938">
        <w:rPr>
          <w:rFonts w:ascii="Times New Roman" w:hAnsi="Times New Roman" w:cs="Times New Roman"/>
          <w:b/>
        </w:rPr>
        <w:t>Evolución de la prevalencia de consumo de alcohol (vida, año y mes). Estudio Nacional de Drogas en población Escolar (Octavo a cuarto Medio).2001-2011</w:t>
      </w:r>
    </w:p>
    <w:p w:rsidR="00C82AC8" w:rsidRPr="00B41938" w:rsidRDefault="00C82AC8" w:rsidP="00B41938">
      <w:pPr>
        <w:spacing w:after="0"/>
        <w:jc w:val="both"/>
        <w:rPr>
          <w:rFonts w:ascii="Times New Roman" w:hAnsi="Times New Roman" w:cs="Times New Roman"/>
          <w:b/>
        </w:rPr>
      </w:pPr>
      <w:r w:rsidRPr="00B41938">
        <w:rPr>
          <w:rFonts w:ascii="Times New Roman" w:hAnsi="Times New Roman" w:cs="Times New Roman"/>
          <w:noProof/>
          <w:lang w:val="es-ES" w:eastAsia="es-ES"/>
        </w:rPr>
        <w:drawing>
          <wp:inline distT="0" distB="0" distL="0" distR="0">
            <wp:extent cx="5162550" cy="2800350"/>
            <wp:effectExtent l="0" t="0" r="19050" b="1905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82AC8" w:rsidRPr="00B41938" w:rsidRDefault="00C82AC8" w:rsidP="00B41938">
      <w:pPr>
        <w:spacing w:after="0"/>
        <w:jc w:val="both"/>
        <w:rPr>
          <w:rFonts w:ascii="Times New Roman" w:hAnsi="Times New Roman" w:cs="Times New Roman"/>
          <w:b/>
        </w:rPr>
      </w:pPr>
    </w:p>
    <w:p w:rsidR="0045720F" w:rsidRDefault="0045720F" w:rsidP="00B41938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41938">
        <w:rPr>
          <w:rFonts w:ascii="Times New Roman" w:hAnsi="Times New Roman" w:cs="Times New Roman"/>
        </w:rPr>
        <w:lastRenderedPageBreak/>
        <w:t>Dos de cada tres estudiantes de octavo a cuarto medio que declaran consumo en el último mes han experimentado al menos un episodio de embriaguez (consumieron 5 o más tragos seguidos)</w:t>
      </w:r>
      <w:r w:rsidR="00E75F69">
        <w:rPr>
          <w:rFonts w:ascii="Times New Roman" w:hAnsi="Times New Roman" w:cs="Times New Roman"/>
        </w:rPr>
        <w:t>.</w:t>
      </w:r>
    </w:p>
    <w:p w:rsidR="00E75F69" w:rsidRPr="00B41938" w:rsidRDefault="00E75F69" w:rsidP="00E75F69">
      <w:pPr>
        <w:pStyle w:val="Prrafodelista"/>
        <w:spacing w:after="0"/>
        <w:ind w:left="360"/>
        <w:jc w:val="both"/>
        <w:rPr>
          <w:rFonts w:ascii="Times New Roman" w:hAnsi="Times New Roman" w:cs="Times New Roman"/>
        </w:rPr>
      </w:pPr>
    </w:p>
    <w:p w:rsidR="006814E9" w:rsidRDefault="006814E9" w:rsidP="00B41938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41938">
        <w:rPr>
          <w:rFonts w:ascii="Times New Roman" w:hAnsi="Times New Roman" w:cs="Times New Roman"/>
        </w:rPr>
        <w:t xml:space="preserve">Según una publicación de CONASET </w:t>
      </w:r>
      <w:r w:rsidR="00E75F69">
        <w:rPr>
          <w:rFonts w:ascii="Times New Roman" w:hAnsi="Times New Roman" w:cs="Times New Roman"/>
        </w:rPr>
        <w:t xml:space="preserve">(ver figura 4) </w:t>
      </w:r>
      <w:r w:rsidRPr="00B41938">
        <w:rPr>
          <w:rFonts w:ascii="Times New Roman" w:hAnsi="Times New Roman" w:cs="Times New Roman"/>
        </w:rPr>
        <w:t xml:space="preserve">basada en el </w:t>
      </w:r>
      <w:r w:rsidR="00B41938" w:rsidRPr="00B41938">
        <w:rPr>
          <w:rFonts w:ascii="Times New Roman" w:hAnsi="Times New Roman" w:cs="Times New Roman"/>
        </w:rPr>
        <w:t>reporte</w:t>
      </w:r>
      <w:r w:rsidRPr="00B41938">
        <w:rPr>
          <w:rFonts w:ascii="Times New Roman" w:hAnsi="Times New Roman" w:cs="Times New Roman"/>
        </w:rPr>
        <w:t xml:space="preserve"> de Carabineros de Chile</w:t>
      </w:r>
      <w:r w:rsidR="00D95EB8" w:rsidRPr="00B41938">
        <w:rPr>
          <w:rFonts w:ascii="Times New Roman" w:hAnsi="Times New Roman" w:cs="Times New Roman"/>
        </w:rPr>
        <w:t>,</w:t>
      </w:r>
      <w:r w:rsidRPr="00B41938">
        <w:rPr>
          <w:rFonts w:ascii="Times New Roman" w:hAnsi="Times New Roman" w:cs="Times New Roman"/>
        </w:rPr>
        <w:t xml:space="preserve"> el año 2013 se produjeron  </w:t>
      </w:r>
      <w:r w:rsidR="00D95EB8" w:rsidRPr="00B41938">
        <w:rPr>
          <w:rFonts w:ascii="Times New Roman" w:hAnsi="Times New Roman" w:cs="Times New Roman"/>
        </w:rPr>
        <w:t>148 muerte en accidentes de tránsito en la que el alcohol estuvo involucrado.</w:t>
      </w:r>
    </w:p>
    <w:p w:rsidR="00E75F69" w:rsidRPr="00E75F69" w:rsidRDefault="00E75F69" w:rsidP="00E75F69">
      <w:pPr>
        <w:pStyle w:val="Prrafodelista"/>
        <w:rPr>
          <w:rFonts w:ascii="Times New Roman" w:hAnsi="Times New Roman" w:cs="Times New Roman"/>
        </w:rPr>
      </w:pPr>
    </w:p>
    <w:p w:rsidR="00D95EB8" w:rsidRPr="00B41938" w:rsidRDefault="00D95EB8" w:rsidP="00B41938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41938">
        <w:rPr>
          <w:rFonts w:ascii="Times New Roman" w:hAnsi="Times New Roman" w:cs="Times New Roman"/>
        </w:rPr>
        <w:t>La disminución de las muertes observadas entre 2011 y 2012 no pueden ser atribuidas al programa Alcohol Cero de forma directa</w:t>
      </w:r>
      <w:r w:rsidR="00E75F69">
        <w:rPr>
          <w:rFonts w:ascii="Times New Roman" w:hAnsi="Times New Roman" w:cs="Times New Roman"/>
        </w:rPr>
        <w:t>.</w:t>
      </w:r>
    </w:p>
    <w:p w:rsidR="006814E9" w:rsidRPr="00B41938" w:rsidRDefault="006814E9" w:rsidP="00B41938">
      <w:pPr>
        <w:pStyle w:val="Prrafodelista"/>
        <w:spacing w:after="0"/>
        <w:ind w:left="360"/>
        <w:jc w:val="both"/>
        <w:rPr>
          <w:rFonts w:ascii="Times New Roman" w:hAnsi="Times New Roman" w:cs="Times New Roman"/>
        </w:rPr>
      </w:pPr>
    </w:p>
    <w:p w:rsidR="00551B5C" w:rsidRPr="00B41938" w:rsidRDefault="008D0EAF" w:rsidP="00B4193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Figura 4. </w:t>
      </w:r>
      <w:r w:rsidR="00551B5C" w:rsidRPr="00B41938">
        <w:rPr>
          <w:rFonts w:ascii="Times New Roman" w:hAnsi="Times New Roman" w:cs="Times New Roman"/>
          <w:b/>
        </w:rPr>
        <w:t>Fallecidos por accidentes de tránsito en Chile</w:t>
      </w:r>
      <w:r w:rsidR="006814E9" w:rsidRPr="00B41938">
        <w:rPr>
          <w:rFonts w:ascii="Times New Roman" w:hAnsi="Times New Roman" w:cs="Times New Roman"/>
          <w:b/>
        </w:rPr>
        <w:t xml:space="preserve"> que registraron consumo de alcohol</w:t>
      </w:r>
    </w:p>
    <w:p w:rsidR="00551B5C" w:rsidRPr="00B41938" w:rsidRDefault="00551B5C" w:rsidP="00B41938">
      <w:pPr>
        <w:spacing w:after="0"/>
        <w:jc w:val="both"/>
        <w:rPr>
          <w:rFonts w:ascii="Times New Roman" w:hAnsi="Times New Roman" w:cs="Times New Roman"/>
        </w:rPr>
      </w:pPr>
      <w:r w:rsidRPr="00B41938">
        <w:rPr>
          <w:rFonts w:ascii="Times New Roman" w:hAnsi="Times New Roman" w:cs="Times New Roman"/>
          <w:noProof/>
          <w:lang w:val="es-ES" w:eastAsia="es-ES"/>
        </w:rPr>
        <w:drawing>
          <wp:inline distT="0" distB="0" distL="0" distR="0">
            <wp:extent cx="5612130" cy="2967097"/>
            <wp:effectExtent l="0" t="0" r="762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6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B5C" w:rsidRPr="00B41938" w:rsidRDefault="00551B5C" w:rsidP="00B41938">
      <w:pPr>
        <w:spacing w:after="0"/>
        <w:jc w:val="both"/>
        <w:rPr>
          <w:rFonts w:ascii="Times New Roman" w:hAnsi="Times New Roman" w:cs="Times New Roman"/>
        </w:rPr>
      </w:pPr>
      <w:r w:rsidRPr="00B41938">
        <w:rPr>
          <w:rFonts w:ascii="Times New Roman" w:hAnsi="Times New Roman" w:cs="Times New Roman"/>
        </w:rPr>
        <w:t>Fuente: CONASET</w:t>
      </w:r>
    </w:p>
    <w:p w:rsidR="00551B5C" w:rsidRDefault="00551B5C" w:rsidP="00B41938">
      <w:pPr>
        <w:spacing w:after="0"/>
        <w:jc w:val="both"/>
        <w:rPr>
          <w:rFonts w:ascii="Times New Roman" w:hAnsi="Times New Roman" w:cs="Times New Roman"/>
        </w:rPr>
      </w:pPr>
    </w:p>
    <w:p w:rsidR="00B41938" w:rsidRDefault="00B41938" w:rsidP="00B41938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Desde el año 2010 ha habido un aumento sostenido del número de personas en programas de tratamiento en convenio con SENDA tratadas por alcohol como principal sustancia </w:t>
      </w:r>
      <w:r w:rsidR="00E75F69">
        <w:rPr>
          <w:rFonts w:ascii="Times New Roman" w:hAnsi="Times New Roman" w:cs="Times New Roman"/>
        </w:rPr>
        <w:t>(ver Tabla 1).</w:t>
      </w:r>
    </w:p>
    <w:p w:rsidR="008D0EAF" w:rsidRDefault="008D0EAF" w:rsidP="008D0EAF">
      <w:pPr>
        <w:spacing w:after="0"/>
        <w:jc w:val="both"/>
        <w:rPr>
          <w:rFonts w:ascii="Times New Roman" w:hAnsi="Times New Roman" w:cs="Times New Roman"/>
        </w:rPr>
      </w:pPr>
    </w:p>
    <w:p w:rsidR="00E75F69" w:rsidRPr="008D0EAF" w:rsidRDefault="008D0EAF" w:rsidP="008D0EA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Tabla 1. </w:t>
      </w:r>
      <w:r w:rsidR="00B41938" w:rsidRPr="008D0EAF">
        <w:rPr>
          <w:rFonts w:ascii="Times New Roman" w:hAnsi="Times New Roman" w:cs="Times New Roman"/>
          <w:b/>
        </w:rPr>
        <w:t xml:space="preserve">Personas </w:t>
      </w:r>
      <w:r w:rsidRPr="008D0EAF">
        <w:rPr>
          <w:rFonts w:ascii="Times New Roman" w:hAnsi="Times New Roman" w:cs="Times New Roman"/>
          <w:b/>
        </w:rPr>
        <w:t>en programas de tratamiento cuya droga principal es el alcohol</w:t>
      </w:r>
    </w:p>
    <w:tbl>
      <w:tblPr>
        <w:tblpPr w:leftFromText="141" w:rightFromText="141" w:vertAnchor="text" w:tblpXSpec="center" w:tblpY="1"/>
        <w:tblOverlap w:val="never"/>
        <w:tblW w:w="3909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905"/>
        <w:gridCol w:w="1004"/>
      </w:tblGrid>
      <w:tr w:rsidR="00B41938" w:rsidRPr="00E75F69" w:rsidTr="00E75F69">
        <w:trPr>
          <w:trHeight w:val="300"/>
        </w:trPr>
        <w:tc>
          <w:tcPr>
            <w:tcW w:w="29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1938" w:rsidRPr="00E75F69" w:rsidRDefault="00B41938" w:rsidP="008D0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L"/>
              </w:rPr>
            </w:pPr>
            <w:r w:rsidRPr="00E75F69">
              <w:rPr>
                <w:rFonts w:ascii="Times New Roman" w:eastAsia="Times New Roman" w:hAnsi="Times New Roman" w:cs="Times New Roman"/>
                <w:color w:val="000000"/>
                <w:lang w:eastAsia="es-CL"/>
              </w:rPr>
              <w:t>Año de ingreso a tratamiento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1938" w:rsidRPr="00E75F69" w:rsidRDefault="008D0EAF" w:rsidP="008D0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L"/>
              </w:rPr>
            </w:pPr>
            <w:r w:rsidRPr="00E75F69">
              <w:rPr>
                <w:rFonts w:ascii="Times New Roman" w:eastAsia="Times New Roman" w:hAnsi="Times New Roman" w:cs="Times New Roman"/>
                <w:color w:val="000000"/>
                <w:lang w:eastAsia="es-CL"/>
              </w:rPr>
              <w:t xml:space="preserve">N° </w:t>
            </w:r>
            <w:r w:rsidR="00B41938" w:rsidRPr="00E75F69">
              <w:rPr>
                <w:rFonts w:ascii="Times New Roman" w:eastAsia="Times New Roman" w:hAnsi="Times New Roman" w:cs="Times New Roman"/>
                <w:color w:val="000000"/>
                <w:lang w:eastAsia="es-CL"/>
              </w:rPr>
              <w:t>Casos</w:t>
            </w:r>
          </w:p>
        </w:tc>
      </w:tr>
      <w:tr w:rsidR="00B41938" w:rsidRPr="00B41938" w:rsidTr="00E75F69">
        <w:trPr>
          <w:trHeight w:val="300"/>
        </w:trPr>
        <w:tc>
          <w:tcPr>
            <w:tcW w:w="29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938" w:rsidRPr="00B41938" w:rsidRDefault="00B41938" w:rsidP="008D0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L"/>
              </w:rPr>
            </w:pPr>
            <w:r w:rsidRPr="00E75F69">
              <w:rPr>
                <w:rFonts w:ascii="Times New Roman" w:eastAsia="Times New Roman" w:hAnsi="Times New Roman" w:cs="Times New Roman"/>
                <w:color w:val="000000"/>
                <w:lang w:eastAsia="es-CL"/>
              </w:rPr>
              <w:t>A</w:t>
            </w:r>
            <w:r w:rsidRPr="00B41938">
              <w:rPr>
                <w:rFonts w:ascii="Times New Roman" w:eastAsia="Times New Roman" w:hAnsi="Times New Roman" w:cs="Times New Roman"/>
                <w:color w:val="000000"/>
                <w:lang w:eastAsia="es-CL"/>
              </w:rPr>
              <w:t>ntes de 2010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938" w:rsidRPr="00B41938" w:rsidRDefault="00B41938" w:rsidP="008D0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L"/>
              </w:rPr>
            </w:pPr>
            <w:r w:rsidRPr="00B41938">
              <w:rPr>
                <w:rFonts w:ascii="Times New Roman" w:eastAsia="Times New Roman" w:hAnsi="Times New Roman" w:cs="Times New Roman"/>
                <w:color w:val="000000"/>
                <w:lang w:eastAsia="es-CL"/>
              </w:rPr>
              <w:t>568</w:t>
            </w:r>
          </w:p>
        </w:tc>
      </w:tr>
      <w:tr w:rsidR="00B41938" w:rsidRPr="00B41938" w:rsidTr="00E75F69">
        <w:trPr>
          <w:trHeight w:val="300"/>
        </w:trPr>
        <w:tc>
          <w:tcPr>
            <w:tcW w:w="2905" w:type="dxa"/>
            <w:shd w:val="clear" w:color="auto" w:fill="auto"/>
            <w:noWrap/>
            <w:vAlign w:val="bottom"/>
            <w:hideMark/>
          </w:tcPr>
          <w:p w:rsidR="00B41938" w:rsidRPr="00B41938" w:rsidRDefault="00B41938" w:rsidP="008D0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L"/>
              </w:rPr>
            </w:pPr>
            <w:r w:rsidRPr="00B41938">
              <w:rPr>
                <w:rFonts w:ascii="Times New Roman" w:eastAsia="Times New Roman" w:hAnsi="Times New Roman" w:cs="Times New Roman"/>
                <w:color w:val="000000"/>
                <w:lang w:eastAsia="es-CL"/>
              </w:rPr>
              <w:t>2010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B41938" w:rsidRPr="00B41938" w:rsidRDefault="00B41938" w:rsidP="008D0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L"/>
              </w:rPr>
            </w:pPr>
            <w:r w:rsidRPr="00B41938">
              <w:rPr>
                <w:rFonts w:ascii="Times New Roman" w:eastAsia="Times New Roman" w:hAnsi="Times New Roman" w:cs="Times New Roman"/>
                <w:color w:val="000000"/>
                <w:lang w:eastAsia="es-CL"/>
              </w:rPr>
              <w:t>1514</w:t>
            </w:r>
          </w:p>
        </w:tc>
      </w:tr>
      <w:tr w:rsidR="00B41938" w:rsidRPr="00B41938" w:rsidTr="00E75F69">
        <w:trPr>
          <w:trHeight w:val="300"/>
        </w:trPr>
        <w:tc>
          <w:tcPr>
            <w:tcW w:w="2905" w:type="dxa"/>
            <w:shd w:val="clear" w:color="auto" w:fill="auto"/>
            <w:noWrap/>
            <w:vAlign w:val="bottom"/>
            <w:hideMark/>
          </w:tcPr>
          <w:p w:rsidR="00B41938" w:rsidRPr="00B41938" w:rsidRDefault="00B41938" w:rsidP="008D0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L"/>
              </w:rPr>
            </w:pPr>
            <w:r w:rsidRPr="00B41938">
              <w:rPr>
                <w:rFonts w:ascii="Times New Roman" w:eastAsia="Times New Roman" w:hAnsi="Times New Roman" w:cs="Times New Roman"/>
                <w:color w:val="000000"/>
                <w:lang w:eastAsia="es-CL"/>
              </w:rPr>
              <w:t>2011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B41938" w:rsidRPr="00B41938" w:rsidRDefault="00B41938" w:rsidP="008D0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L"/>
              </w:rPr>
            </w:pPr>
            <w:r w:rsidRPr="00B41938">
              <w:rPr>
                <w:rFonts w:ascii="Times New Roman" w:eastAsia="Times New Roman" w:hAnsi="Times New Roman" w:cs="Times New Roman"/>
                <w:color w:val="000000"/>
                <w:lang w:eastAsia="es-CL"/>
              </w:rPr>
              <w:t>1737</w:t>
            </w:r>
          </w:p>
        </w:tc>
      </w:tr>
      <w:tr w:rsidR="00B41938" w:rsidRPr="00B41938" w:rsidTr="00E75F69">
        <w:trPr>
          <w:trHeight w:val="300"/>
        </w:trPr>
        <w:tc>
          <w:tcPr>
            <w:tcW w:w="2905" w:type="dxa"/>
            <w:shd w:val="clear" w:color="auto" w:fill="auto"/>
            <w:noWrap/>
            <w:vAlign w:val="bottom"/>
            <w:hideMark/>
          </w:tcPr>
          <w:p w:rsidR="00B41938" w:rsidRPr="00B41938" w:rsidRDefault="00B41938" w:rsidP="008D0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L"/>
              </w:rPr>
            </w:pPr>
            <w:r w:rsidRPr="00B41938">
              <w:rPr>
                <w:rFonts w:ascii="Times New Roman" w:eastAsia="Times New Roman" w:hAnsi="Times New Roman" w:cs="Times New Roman"/>
                <w:color w:val="000000"/>
                <w:lang w:eastAsia="es-CL"/>
              </w:rPr>
              <w:t>2012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B41938" w:rsidRPr="00B41938" w:rsidRDefault="00B41938" w:rsidP="008D0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L"/>
              </w:rPr>
            </w:pPr>
            <w:r w:rsidRPr="00B41938">
              <w:rPr>
                <w:rFonts w:ascii="Times New Roman" w:eastAsia="Times New Roman" w:hAnsi="Times New Roman" w:cs="Times New Roman"/>
                <w:color w:val="000000"/>
                <w:lang w:eastAsia="es-CL"/>
              </w:rPr>
              <w:t>2029</w:t>
            </w:r>
          </w:p>
        </w:tc>
      </w:tr>
      <w:tr w:rsidR="00B41938" w:rsidRPr="00B41938" w:rsidTr="00E75F69">
        <w:trPr>
          <w:trHeight w:val="300"/>
        </w:trPr>
        <w:tc>
          <w:tcPr>
            <w:tcW w:w="2905" w:type="dxa"/>
            <w:shd w:val="clear" w:color="auto" w:fill="auto"/>
            <w:noWrap/>
            <w:vAlign w:val="bottom"/>
            <w:hideMark/>
          </w:tcPr>
          <w:p w:rsidR="00B41938" w:rsidRPr="00B41938" w:rsidRDefault="00B41938" w:rsidP="008D0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L"/>
              </w:rPr>
            </w:pPr>
            <w:r w:rsidRPr="00B41938">
              <w:rPr>
                <w:rFonts w:ascii="Times New Roman" w:eastAsia="Times New Roman" w:hAnsi="Times New Roman" w:cs="Times New Roman"/>
                <w:color w:val="000000"/>
                <w:lang w:eastAsia="es-CL"/>
              </w:rPr>
              <w:t>2013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B41938" w:rsidRPr="00B41938" w:rsidRDefault="00B41938" w:rsidP="008D0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L"/>
              </w:rPr>
            </w:pPr>
            <w:r w:rsidRPr="00B41938">
              <w:rPr>
                <w:rFonts w:ascii="Times New Roman" w:eastAsia="Times New Roman" w:hAnsi="Times New Roman" w:cs="Times New Roman"/>
                <w:color w:val="000000"/>
                <w:lang w:eastAsia="es-CL"/>
              </w:rPr>
              <w:t>3815</w:t>
            </w:r>
          </w:p>
        </w:tc>
      </w:tr>
    </w:tbl>
    <w:p w:rsidR="00B41938" w:rsidRPr="00B41938" w:rsidRDefault="008D0EA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sectPr w:rsidR="00B41938" w:rsidRPr="00B41938" w:rsidSect="00571A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969" w:rsidRDefault="00831969" w:rsidP="00BF4D31">
      <w:pPr>
        <w:spacing w:after="0" w:line="240" w:lineRule="auto"/>
      </w:pPr>
      <w:r>
        <w:separator/>
      </w:r>
    </w:p>
  </w:endnote>
  <w:endnote w:type="continuationSeparator" w:id="1">
    <w:p w:rsidR="00831969" w:rsidRDefault="00831969" w:rsidP="00BF4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969" w:rsidRDefault="00831969" w:rsidP="00BF4D31">
      <w:pPr>
        <w:spacing w:after="0" w:line="240" w:lineRule="auto"/>
      </w:pPr>
      <w:r>
        <w:separator/>
      </w:r>
    </w:p>
  </w:footnote>
  <w:footnote w:type="continuationSeparator" w:id="1">
    <w:p w:rsidR="00831969" w:rsidRDefault="00831969" w:rsidP="00BF4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408B4"/>
    <w:multiLevelType w:val="hybridMultilevel"/>
    <w:tmpl w:val="30CA206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3200"/>
    <w:rsid w:val="00023200"/>
    <w:rsid w:val="0003275A"/>
    <w:rsid w:val="00156017"/>
    <w:rsid w:val="003271F7"/>
    <w:rsid w:val="00344741"/>
    <w:rsid w:val="0045720F"/>
    <w:rsid w:val="00470C15"/>
    <w:rsid w:val="004D4A87"/>
    <w:rsid w:val="00551B5C"/>
    <w:rsid w:val="00571ADB"/>
    <w:rsid w:val="00632C3C"/>
    <w:rsid w:val="006814E9"/>
    <w:rsid w:val="00691588"/>
    <w:rsid w:val="00716B56"/>
    <w:rsid w:val="007E4FDB"/>
    <w:rsid w:val="00831969"/>
    <w:rsid w:val="00836148"/>
    <w:rsid w:val="00866FCD"/>
    <w:rsid w:val="008D0EAF"/>
    <w:rsid w:val="009B5E80"/>
    <w:rsid w:val="00B272CD"/>
    <w:rsid w:val="00B41938"/>
    <w:rsid w:val="00BE6EE0"/>
    <w:rsid w:val="00BF4D31"/>
    <w:rsid w:val="00C23A9B"/>
    <w:rsid w:val="00C2685C"/>
    <w:rsid w:val="00C464FF"/>
    <w:rsid w:val="00C82AC8"/>
    <w:rsid w:val="00D95EB8"/>
    <w:rsid w:val="00E61D9F"/>
    <w:rsid w:val="00E75F69"/>
    <w:rsid w:val="00E91E96"/>
    <w:rsid w:val="00EA0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A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3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320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66FC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F4D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4D31"/>
  </w:style>
  <w:style w:type="paragraph" w:styleId="Piedepgina">
    <w:name w:val="footer"/>
    <w:basedOn w:val="Normal"/>
    <w:link w:val="PiedepginaCar"/>
    <w:uiPriority w:val="99"/>
    <w:unhideWhenUsed/>
    <w:rsid w:val="00BF4D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4D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3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320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66FC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F4D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4D31"/>
  </w:style>
  <w:style w:type="paragraph" w:styleId="Piedepgina">
    <w:name w:val="footer"/>
    <w:basedOn w:val="Normal"/>
    <w:link w:val="PiedepginaCar"/>
    <w:uiPriority w:val="99"/>
    <w:unhideWhenUsed/>
    <w:rsid w:val="00BF4D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4D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style val="1"/>
  <c:chart>
    <c:plotArea>
      <c:layout/>
      <c:lineChart>
        <c:grouping val="standard"/>
        <c:ser>
          <c:idx val="0"/>
          <c:order val="0"/>
          <c:tx>
            <c:strRef>
              <c:f>Hoja2!$G$1</c:f>
              <c:strCache>
                <c:ptCount val="1"/>
                <c:pt idx="0">
                  <c:v>Vida</c:v>
                </c:pt>
              </c:strCache>
            </c:strRef>
          </c:tx>
          <c:cat>
            <c:numRef>
              <c:f>Hoja2!$F$2:$F$11</c:f>
              <c:numCache>
                <c:formatCode>General</c:formatCode>
                <c:ptCount val="10"/>
                <c:pt idx="0">
                  <c:v>1994</c:v>
                </c:pt>
                <c:pt idx="1">
                  <c:v>1996</c:v>
                </c:pt>
                <c:pt idx="2">
                  <c:v>1998</c:v>
                </c:pt>
                <c:pt idx="3">
                  <c:v>2000</c:v>
                </c:pt>
                <c:pt idx="4">
                  <c:v>2002</c:v>
                </c:pt>
                <c:pt idx="5">
                  <c:v>2004</c:v>
                </c:pt>
                <c:pt idx="6">
                  <c:v>2006</c:v>
                </c:pt>
                <c:pt idx="7">
                  <c:v>2008</c:v>
                </c:pt>
                <c:pt idx="8">
                  <c:v>2010</c:v>
                </c:pt>
                <c:pt idx="9">
                  <c:v>2012</c:v>
                </c:pt>
              </c:numCache>
            </c:numRef>
          </c:cat>
          <c:val>
            <c:numRef>
              <c:f>Hoja2!$G$2:$G$11</c:f>
              <c:numCache>
                <c:formatCode>General</c:formatCode>
                <c:ptCount val="10"/>
                <c:pt idx="0">
                  <c:v>73.599999999999994</c:v>
                </c:pt>
                <c:pt idx="1">
                  <c:v>84.8</c:v>
                </c:pt>
                <c:pt idx="2">
                  <c:v>84.9</c:v>
                </c:pt>
                <c:pt idx="3">
                  <c:v>84.9</c:v>
                </c:pt>
                <c:pt idx="4">
                  <c:v>86.7</c:v>
                </c:pt>
                <c:pt idx="5">
                  <c:v>86.9</c:v>
                </c:pt>
                <c:pt idx="6">
                  <c:v>85.2</c:v>
                </c:pt>
                <c:pt idx="7">
                  <c:v>81.900000000000006</c:v>
                </c:pt>
                <c:pt idx="8">
                  <c:v>70.599999999999994</c:v>
                </c:pt>
                <c:pt idx="9">
                  <c:v>69.099999999999994</c:v>
                </c:pt>
              </c:numCache>
            </c:numRef>
          </c:val>
        </c:ser>
        <c:ser>
          <c:idx val="1"/>
          <c:order val="1"/>
          <c:tx>
            <c:strRef>
              <c:f>Hoja2!$H$1</c:f>
              <c:strCache>
                <c:ptCount val="1"/>
                <c:pt idx="0">
                  <c:v>Año</c:v>
                </c:pt>
              </c:strCache>
            </c:strRef>
          </c:tx>
          <c:cat>
            <c:numRef>
              <c:f>Hoja2!$F$2:$F$11</c:f>
              <c:numCache>
                <c:formatCode>General</c:formatCode>
                <c:ptCount val="10"/>
                <c:pt idx="0">
                  <c:v>1994</c:v>
                </c:pt>
                <c:pt idx="1">
                  <c:v>1996</c:v>
                </c:pt>
                <c:pt idx="2">
                  <c:v>1998</c:v>
                </c:pt>
                <c:pt idx="3">
                  <c:v>2000</c:v>
                </c:pt>
                <c:pt idx="4">
                  <c:v>2002</c:v>
                </c:pt>
                <c:pt idx="5">
                  <c:v>2004</c:v>
                </c:pt>
                <c:pt idx="6">
                  <c:v>2006</c:v>
                </c:pt>
                <c:pt idx="7">
                  <c:v>2008</c:v>
                </c:pt>
                <c:pt idx="8">
                  <c:v>2010</c:v>
                </c:pt>
                <c:pt idx="9">
                  <c:v>2012</c:v>
                </c:pt>
              </c:numCache>
            </c:numRef>
          </c:cat>
          <c:val>
            <c:numRef>
              <c:f>Hoja2!$H$2:$H$11</c:f>
              <c:numCache>
                <c:formatCode>General</c:formatCode>
                <c:ptCount val="10"/>
                <c:pt idx="0">
                  <c:v>60.9</c:v>
                </c:pt>
                <c:pt idx="1">
                  <c:v>71.5</c:v>
                </c:pt>
                <c:pt idx="2">
                  <c:v>71.599999999999994</c:v>
                </c:pt>
                <c:pt idx="3">
                  <c:v>73.900000000000006</c:v>
                </c:pt>
                <c:pt idx="4">
                  <c:v>75.3</c:v>
                </c:pt>
                <c:pt idx="5">
                  <c:v>76</c:v>
                </c:pt>
                <c:pt idx="6">
                  <c:v>73.599999999999994</c:v>
                </c:pt>
                <c:pt idx="7">
                  <c:v>68.5</c:v>
                </c:pt>
                <c:pt idx="8">
                  <c:v>57.5</c:v>
                </c:pt>
                <c:pt idx="9">
                  <c:v>55.8</c:v>
                </c:pt>
              </c:numCache>
            </c:numRef>
          </c:val>
        </c:ser>
        <c:ser>
          <c:idx val="2"/>
          <c:order val="2"/>
          <c:tx>
            <c:strRef>
              <c:f>Hoja2!$I$1</c:f>
              <c:strCache>
                <c:ptCount val="1"/>
                <c:pt idx="0">
                  <c:v>Mes</c:v>
                </c:pt>
              </c:strCache>
            </c:strRef>
          </c:tx>
          <c:cat>
            <c:numRef>
              <c:f>Hoja2!$F$2:$F$11</c:f>
              <c:numCache>
                <c:formatCode>General</c:formatCode>
                <c:ptCount val="10"/>
                <c:pt idx="0">
                  <c:v>1994</c:v>
                </c:pt>
                <c:pt idx="1">
                  <c:v>1996</c:v>
                </c:pt>
                <c:pt idx="2">
                  <c:v>1998</c:v>
                </c:pt>
                <c:pt idx="3">
                  <c:v>2000</c:v>
                </c:pt>
                <c:pt idx="4">
                  <c:v>2002</c:v>
                </c:pt>
                <c:pt idx="5">
                  <c:v>2004</c:v>
                </c:pt>
                <c:pt idx="6">
                  <c:v>2006</c:v>
                </c:pt>
                <c:pt idx="7">
                  <c:v>2008</c:v>
                </c:pt>
                <c:pt idx="8">
                  <c:v>2010</c:v>
                </c:pt>
                <c:pt idx="9">
                  <c:v>2012</c:v>
                </c:pt>
              </c:numCache>
            </c:numRef>
          </c:cat>
          <c:val>
            <c:numRef>
              <c:f>Hoja2!$I$2:$I$11</c:f>
              <c:numCache>
                <c:formatCode>General</c:formatCode>
                <c:ptCount val="10"/>
                <c:pt idx="0">
                  <c:v>40.4</c:v>
                </c:pt>
                <c:pt idx="1">
                  <c:v>48.1</c:v>
                </c:pt>
                <c:pt idx="2">
                  <c:v>53</c:v>
                </c:pt>
                <c:pt idx="3">
                  <c:v>54.4</c:v>
                </c:pt>
                <c:pt idx="4">
                  <c:v>59.6</c:v>
                </c:pt>
                <c:pt idx="5">
                  <c:v>57.9</c:v>
                </c:pt>
                <c:pt idx="6">
                  <c:v>58.1</c:v>
                </c:pt>
                <c:pt idx="7">
                  <c:v>49.8</c:v>
                </c:pt>
                <c:pt idx="8">
                  <c:v>40.5</c:v>
                </c:pt>
                <c:pt idx="9">
                  <c:v>40.800000000000004</c:v>
                </c:pt>
              </c:numCache>
            </c:numRef>
          </c:val>
        </c:ser>
        <c:marker val="1"/>
        <c:axId val="88992384"/>
        <c:axId val="89190784"/>
      </c:lineChart>
      <c:catAx>
        <c:axId val="88992384"/>
        <c:scaling>
          <c:orientation val="minMax"/>
        </c:scaling>
        <c:axPos val="b"/>
        <c:numFmt formatCode="General" sourceLinked="1"/>
        <c:tickLblPos val="nextTo"/>
        <c:crossAx val="89190784"/>
        <c:crosses val="autoZero"/>
        <c:auto val="1"/>
        <c:lblAlgn val="ctr"/>
        <c:lblOffset val="100"/>
      </c:catAx>
      <c:valAx>
        <c:axId val="89190784"/>
        <c:scaling>
          <c:orientation val="minMax"/>
        </c:scaling>
        <c:axPos val="l"/>
        <c:numFmt formatCode="General" sourceLinked="1"/>
        <c:tickLblPos val="nextTo"/>
        <c:crossAx val="88992384"/>
        <c:crosses val="autoZero"/>
        <c:crossBetween val="between"/>
      </c:valAx>
    </c:plotArea>
    <c:legend>
      <c:legendPos val="b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s-ES"/>
  <c:style val="1"/>
  <c:chart>
    <c:plotArea>
      <c:layout/>
      <c:lineChart>
        <c:grouping val="standard"/>
        <c:ser>
          <c:idx val="0"/>
          <c:order val="0"/>
          <c:tx>
            <c:strRef>
              <c:f>Hoja1!$C$1</c:f>
              <c:strCache>
                <c:ptCount val="1"/>
                <c:pt idx="0">
                  <c:v>Total</c:v>
                </c:pt>
              </c:strCache>
            </c:strRef>
          </c:tx>
          <c:cat>
            <c:numRef>
              <c:f>Hoja1!$B$2:$B$7</c:f>
              <c:numCache>
                <c:formatCode>General</c:formatCode>
                <c:ptCount val="6"/>
                <c:pt idx="0">
                  <c:v>2002</c:v>
                </c:pt>
                <c:pt idx="1">
                  <c:v>2004</c:v>
                </c:pt>
                <c:pt idx="2">
                  <c:v>2006</c:v>
                </c:pt>
                <c:pt idx="3">
                  <c:v>2008</c:v>
                </c:pt>
                <c:pt idx="4">
                  <c:v>2010</c:v>
                </c:pt>
                <c:pt idx="5">
                  <c:v>2012</c:v>
                </c:pt>
              </c:numCache>
            </c:numRef>
          </c:cat>
          <c:val>
            <c:numRef>
              <c:f>Hoja1!$C$2:$C$7</c:f>
              <c:numCache>
                <c:formatCode>General</c:formatCode>
                <c:ptCount val="6"/>
                <c:pt idx="0">
                  <c:v>10.350000000000005</c:v>
                </c:pt>
                <c:pt idx="1">
                  <c:v>11.06</c:v>
                </c:pt>
                <c:pt idx="2">
                  <c:v>10.61</c:v>
                </c:pt>
                <c:pt idx="3">
                  <c:v>10.49</c:v>
                </c:pt>
                <c:pt idx="4">
                  <c:v>9.08</c:v>
                </c:pt>
                <c:pt idx="5">
                  <c:v>7.7700000000000014</c:v>
                </c:pt>
              </c:numCache>
            </c:numRef>
          </c:val>
        </c:ser>
        <c:ser>
          <c:idx val="1"/>
          <c:order val="1"/>
          <c:tx>
            <c:strRef>
              <c:f>Hoja1!$D$1</c:f>
              <c:strCache>
                <c:ptCount val="1"/>
                <c:pt idx="0">
                  <c:v>Mujeres</c:v>
                </c:pt>
              </c:strCache>
            </c:strRef>
          </c:tx>
          <c:cat>
            <c:numRef>
              <c:f>Hoja1!$B$2:$B$7</c:f>
              <c:numCache>
                <c:formatCode>General</c:formatCode>
                <c:ptCount val="6"/>
                <c:pt idx="0">
                  <c:v>2002</c:v>
                </c:pt>
                <c:pt idx="1">
                  <c:v>2004</c:v>
                </c:pt>
                <c:pt idx="2">
                  <c:v>2006</c:v>
                </c:pt>
                <c:pt idx="3">
                  <c:v>2008</c:v>
                </c:pt>
                <c:pt idx="4">
                  <c:v>2010</c:v>
                </c:pt>
                <c:pt idx="5">
                  <c:v>2012</c:v>
                </c:pt>
              </c:numCache>
            </c:numRef>
          </c:cat>
          <c:val>
            <c:numRef>
              <c:f>Hoja1!$D$2:$D$7</c:f>
              <c:numCache>
                <c:formatCode>General</c:formatCode>
                <c:ptCount val="6"/>
                <c:pt idx="0">
                  <c:v>4.07</c:v>
                </c:pt>
                <c:pt idx="1">
                  <c:v>4.46</c:v>
                </c:pt>
                <c:pt idx="2">
                  <c:v>3.73</c:v>
                </c:pt>
                <c:pt idx="3">
                  <c:v>5.24</c:v>
                </c:pt>
                <c:pt idx="4">
                  <c:v>5.67</c:v>
                </c:pt>
                <c:pt idx="5">
                  <c:v>3.2800000000000002</c:v>
                </c:pt>
              </c:numCache>
            </c:numRef>
          </c:val>
        </c:ser>
        <c:ser>
          <c:idx val="2"/>
          <c:order val="2"/>
          <c:tx>
            <c:strRef>
              <c:f>Hoja1!$E$1</c:f>
              <c:strCache>
                <c:ptCount val="1"/>
                <c:pt idx="0">
                  <c:v>Hombres</c:v>
                </c:pt>
              </c:strCache>
            </c:strRef>
          </c:tx>
          <c:cat>
            <c:numRef>
              <c:f>Hoja1!$B$2:$B$7</c:f>
              <c:numCache>
                <c:formatCode>General</c:formatCode>
                <c:ptCount val="6"/>
                <c:pt idx="0">
                  <c:v>2002</c:v>
                </c:pt>
                <c:pt idx="1">
                  <c:v>2004</c:v>
                </c:pt>
                <c:pt idx="2">
                  <c:v>2006</c:v>
                </c:pt>
                <c:pt idx="3">
                  <c:v>2008</c:v>
                </c:pt>
                <c:pt idx="4">
                  <c:v>2010</c:v>
                </c:pt>
                <c:pt idx="5">
                  <c:v>2012</c:v>
                </c:pt>
              </c:numCache>
            </c:numRef>
          </c:cat>
          <c:val>
            <c:numRef>
              <c:f>Hoja1!$E$2:$E$7</c:f>
              <c:numCache>
                <c:formatCode>General</c:formatCode>
                <c:ptCount val="6"/>
                <c:pt idx="0">
                  <c:v>16.22</c:v>
                </c:pt>
                <c:pt idx="1">
                  <c:v>17.11000000000001</c:v>
                </c:pt>
                <c:pt idx="2">
                  <c:v>16.79</c:v>
                </c:pt>
                <c:pt idx="3">
                  <c:v>14.9</c:v>
                </c:pt>
                <c:pt idx="4">
                  <c:v>11.89</c:v>
                </c:pt>
                <c:pt idx="5">
                  <c:v>11.5</c:v>
                </c:pt>
              </c:numCache>
            </c:numRef>
          </c:val>
        </c:ser>
        <c:marker val="1"/>
        <c:axId val="87500672"/>
        <c:axId val="87502208"/>
      </c:lineChart>
      <c:catAx>
        <c:axId val="87500672"/>
        <c:scaling>
          <c:orientation val="minMax"/>
        </c:scaling>
        <c:axPos val="b"/>
        <c:numFmt formatCode="General" sourceLinked="1"/>
        <c:tickLblPos val="nextTo"/>
        <c:crossAx val="87502208"/>
        <c:crosses val="autoZero"/>
        <c:auto val="1"/>
        <c:lblAlgn val="ctr"/>
        <c:lblOffset val="100"/>
      </c:catAx>
      <c:valAx>
        <c:axId val="87502208"/>
        <c:scaling>
          <c:orientation val="minMax"/>
        </c:scaling>
        <c:axPos val="l"/>
        <c:numFmt formatCode="General" sourceLinked="1"/>
        <c:tickLblPos val="nextTo"/>
        <c:crossAx val="87500672"/>
        <c:crosses val="autoZero"/>
        <c:crossBetween val="between"/>
      </c:valAx>
    </c:plotArea>
    <c:legend>
      <c:legendPos val="b"/>
      <c:layout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style val="1"/>
  <c:chart>
    <c:plotArea>
      <c:layout/>
      <c:lineChart>
        <c:grouping val="standard"/>
        <c:ser>
          <c:idx val="0"/>
          <c:order val="0"/>
          <c:tx>
            <c:strRef>
              <c:f>Hoja1!$B$2</c:f>
              <c:strCache>
                <c:ptCount val="1"/>
                <c:pt idx="0">
                  <c:v>Vida</c:v>
                </c:pt>
              </c:strCache>
            </c:strRef>
          </c:tx>
          <c:cat>
            <c:numRef>
              <c:f>Hoja1!$A$3:$A$8</c:f>
              <c:numCache>
                <c:formatCode>General</c:formatCode>
                <c:ptCount val="6"/>
                <c:pt idx="0">
                  <c:v>2001</c:v>
                </c:pt>
                <c:pt idx="1">
                  <c:v>2003</c:v>
                </c:pt>
                <c:pt idx="2">
                  <c:v>2005</c:v>
                </c:pt>
                <c:pt idx="3">
                  <c:v>2007</c:v>
                </c:pt>
                <c:pt idx="4">
                  <c:v>2009</c:v>
                </c:pt>
                <c:pt idx="5">
                  <c:v>2011</c:v>
                </c:pt>
              </c:numCache>
            </c:numRef>
          </c:cat>
          <c:val>
            <c:numRef>
              <c:f>Hoja1!$B$3:$B$8</c:f>
              <c:numCache>
                <c:formatCode>General</c:formatCode>
                <c:ptCount val="6"/>
                <c:pt idx="0">
                  <c:v>77.555999999999983</c:v>
                </c:pt>
                <c:pt idx="1">
                  <c:v>78.551000000000002</c:v>
                </c:pt>
                <c:pt idx="2">
                  <c:v>73.131</c:v>
                </c:pt>
                <c:pt idx="3">
                  <c:v>77.11</c:v>
                </c:pt>
                <c:pt idx="4">
                  <c:v>75.010999999999996</c:v>
                </c:pt>
                <c:pt idx="5">
                  <c:v>78.872999999999962</c:v>
                </c:pt>
              </c:numCache>
            </c:numRef>
          </c:val>
        </c:ser>
        <c:ser>
          <c:idx val="1"/>
          <c:order val="1"/>
          <c:tx>
            <c:strRef>
              <c:f>Hoja1!$C$2</c:f>
              <c:strCache>
                <c:ptCount val="1"/>
                <c:pt idx="0">
                  <c:v>Año</c:v>
                </c:pt>
              </c:strCache>
            </c:strRef>
          </c:tx>
          <c:cat>
            <c:numRef>
              <c:f>Hoja1!$A$3:$A$8</c:f>
              <c:numCache>
                <c:formatCode>General</c:formatCode>
                <c:ptCount val="6"/>
                <c:pt idx="0">
                  <c:v>2001</c:v>
                </c:pt>
                <c:pt idx="1">
                  <c:v>2003</c:v>
                </c:pt>
                <c:pt idx="2">
                  <c:v>2005</c:v>
                </c:pt>
                <c:pt idx="3">
                  <c:v>2007</c:v>
                </c:pt>
                <c:pt idx="4">
                  <c:v>2009</c:v>
                </c:pt>
                <c:pt idx="5">
                  <c:v>2011</c:v>
                </c:pt>
              </c:numCache>
            </c:numRef>
          </c:cat>
          <c:val>
            <c:numRef>
              <c:f>Hoja1!$C$3:$C$8</c:f>
              <c:numCache>
                <c:formatCode>General</c:formatCode>
                <c:ptCount val="6"/>
                <c:pt idx="0">
                  <c:v>61.536000000000001</c:v>
                </c:pt>
                <c:pt idx="1">
                  <c:v>60.392000000000003</c:v>
                </c:pt>
                <c:pt idx="2">
                  <c:v>59.795000000000023</c:v>
                </c:pt>
                <c:pt idx="3">
                  <c:v>58.616</c:v>
                </c:pt>
                <c:pt idx="4">
                  <c:v>57.018000000000001</c:v>
                </c:pt>
                <c:pt idx="5">
                  <c:v>59.282000000000011</c:v>
                </c:pt>
              </c:numCache>
            </c:numRef>
          </c:val>
        </c:ser>
        <c:ser>
          <c:idx val="2"/>
          <c:order val="2"/>
          <c:tx>
            <c:strRef>
              <c:f>Hoja1!$D$2</c:f>
              <c:strCache>
                <c:ptCount val="1"/>
                <c:pt idx="0">
                  <c:v>Mes</c:v>
                </c:pt>
              </c:strCache>
            </c:strRef>
          </c:tx>
          <c:cat>
            <c:numRef>
              <c:f>Hoja1!$A$3:$A$8</c:f>
              <c:numCache>
                <c:formatCode>General</c:formatCode>
                <c:ptCount val="6"/>
                <c:pt idx="0">
                  <c:v>2001</c:v>
                </c:pt>
                <c:pt idx="1">
                  <c:v>2003</c:v>
                </c:pt>
                <c:pt idx="2">
                  <c:v>2005</c:v>
                </c:pt>
                <c:pt idx="3">
                  <c:v>2007</c:v>
                </c:pt>
                <c:pt idx="4">
                  <c:v>2009</c:v>
                </c:pt>
                <c:pt idx="5">
                  <c:v>2011</c:v>
                </c:pt>
              </c:numCache>
            </c:numRef>
          </c:cat>
          <c:val>
            <c:numRef>
              <c:f>Hoja1!$D$3:$D$8</c:f>
              <c:numCache>
                <c:formatCode>General</c:formatCode>
                <c:ptCount val="6"/>
                <c:pt idx="0">
                  <c:v>38.881999999999998</c:v>
                </c:pt>
                <c:pt idx="1">
                  <c:v>38.749000000000002</c:v>
                </c:pt>
                <c:pt idx="2">
                  <c:v>43.346999999999994</c:v>
                </c:pt>
                <c:pt idx="3">
                  <c:v>38.15</c:v>
                </c:pt>
                <c:pt idx="4">
                  <c:v>35.453999999999994</c:v>
                </c:pt>
                <c:pt idx="5">
                  <c:v>34.700000000000003</c:v>
                </c:pt>
              </c:numCache>
            </c:numRef>
          </c:val>
        </c:ser>
        <c:marker val="1"/>
        <c:axId val="87589248"/>
        <c:axId val="87590784"/>
      </c:lineChart>
      <c:catAx>
        <c:axId val="87589248"/>
        <c:scaling>
          <c:orientation val="minMax"/>
        </c:scaling>
        <c:axPos val="b"/>
        <c:numFmt formatCode="General" sourceLinked="1"/>
        <c:tickLblPos val="nextTo"/>
        <c:crossAx val="87590784"/>
        <c:crosses val="autoZero"/>
        <c:auto val="1"/>
        <c:lblAlgn val="ctr"/>
        <c:lblOffset val="100"/>
      </c:catAx>
      <c:valAx>
        <c:axId val="87590784"/>
        <c:scaling>
          <c:orientation val="minMax"/>
        </c:scaling>
        <c:axPos val="l"/>
        <c:numFmt formatCode="General" sourceLinked="1"/>
        <c:tickLblPos val="nextTo"/>
        <c:crossAx val="87589248"/>
        <c:crosses val="autoZero"/>
        <c:crossBetween val="between"/>
      </c:valAx>
    </c:plotArea>
    <c:legend>
      <c:legendPos val="b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431</Words>
  <Characters>2374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Castillo Carniglia</dc:creator>
  <cp:lastModifiedBy>lpulgar</cp:lastModifiedBy>
  <cp:revision>2</cp:revision>
  <cp:lastPrinted>2014-06-04T18:28:00Z</cp:lastPrinted>
  <dcterms:created xsi:type="dcterms:W3CDTF">2017-05-18T15:35:00Z</dcterms:created>
  <dcterms:modified xsi:type="dcterms:W3CDTF">2017-05-18T15:35:00Z</dcterms:modified>
</cp:coreProperties>
</file>